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D1" w:rsidRDefault="00C27FA7">
      <w:pPr>
        <w:pStyle w:val="BodyText"/>
        <w:ind w:left="11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7302500" cy="810260"/>
                <wp:effectExtent l="0" t="0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1026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BD1" w:rsidRDefault="00264402">
                            <w:pPr>
                              <w:pStyle w:val="BodyText"/>
                              <w:spacing w:before="94" w:line="509" w:lineRule="exact"/>
                              <w:ind w:left="60"/>
                            </w:pPr>
                            <w:r>
                              <w:rPr>
                                <w:color w:val="FFFFFF"/>
                              </w:rPr>
                              <w:t>TOOL F:</w:t>
                            </w:r>
                          </w:p>
                          <w:p w:rsidR="00581BD1" w:rsidRDefault="00264402">
                            <w:pPr>
                              <w:pStyle w:val="BodyText"/>
                              <w:spacing w:line="509" w:lineRule="exact"/>
                              <w:ind w:left="60"/>
                            </w:pPr>
                            <w:r>
                              <w:rPr>
                                <w:color w:val="FFFFFF"/>
                              </w:rPr>
                              <w:t>DISPUTE RESOLUTION PROCESS REQUIREMENTS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" fillcolor="#1689ca" stroked="f">
                <v:textbox inset="0,0,0,0">
                  <w:txbxContent>
                    <w:p w:rsidR="00581BD1" w:rsidRDefault="00264402">
                      <w:pPr>
                        <w:pStyle w:val="BodyText"/>
                        <w:spacing w:before="94" w:line="509" w:lineRule="exact"/>
                        <w:ind w:left="60"/>
                      </w:pPr>
                      <w:r>
                        <w:rPr>
                          <w:color w:val="FFFFFF"/>
                        </w:rPr>
                        <w:t>TOOL F:</w:t>
                      </w:r>
                    </w:p>
                    <w:p w:rsidR="00581BD1" w:rsidRDefault="00264402">
                      <w:pPr>
                        <w:pStyle w:val="BodyText"/>
                        <w:spacing w:line="509" w:lineRule="exact"/>
                        <w:ind w:left="60"/>
                      </w:pPr>
                      <w:r>
                        <w:rPr>
                          <w:color w:val="FFFFFF"/>
                        </w:rPr>
                        <w:t>DISPUTE RESOLUTION PROCESS REQUIREMENTS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1BD1" w:rsidRPr="00D13ADB" w:rsidRDefault="00677E8F" w:rsidP="00677E8F">
      <w:pPr>
        <w:ind w:firstLine="106"/>
        <w:rPr>
          <w:rFonts w:ascii="Times New Roman"/>
          <w:b/>
          <w:sz w:val="18"/>
          <w:szCs w:val="18"/>
        </w:rPr>
      </w:pPr>
      <w:r w:rsidRPr="00D13ADB">
        <w:rPr>
          <w:i/>
          <w:sz w:val="18"/>
          <w:szCs w:val="18"/>
        </w:rPr>
        <w:t>PURPOSE: To assist municipalities in preparing their dispute resolution process.</w:t>
      </w:r>
    </w:p>
    <w:p w:rsidR="00581BD1" w:rsidRDefault="00581BD1">
      <w:pPr>
        <w:pStyle w:val="BodyText"/>
        <w:spacing w:before="2"/>
        <w:rPr>
          <w:rFonts w:ascii="Times New Roman"/>
          <w:b w:val="0"/>
          <w:sz w:val="12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875"/>
      </w:tblGrid>
      <w:tr w:rsidR="00581BD1" w:rsidTr="00691D67">
        <w:trPr>
          <w:trHeight w:val="446"/>
        </w:trPr>
        <w:tc>
          <w:tcPr>
            <w:tcW w:w="11499" w:type="dxa"/>
            <w:gridSpan w:val="2"/>
            <w:shd w:val="clear" w:color="auto" w:fill="1689CA"/>
          </w:tcPr>
          <w:p w:rsidR="00581BD1" w:rsidRDefault="00264402">
            <w:pPr>
              <w:pStyle w:val="TableParagraph"/>
              <w:spacing w:before="78"/>
              <w:ind w:left="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Does your dispute resolution process address:</w:t>
            </w:r>
          </w:p>
        </w:tc>
      </w:tr>
      <w:tr w:rsidR="00581BD1">
        <w:trPr>
          <w:trHeight w:val="335"/>
        </w:trPr>
        <w:tc>
          <w:tcPr>
            <w:tcW w:w="624" w:type="dxa"/>
            <w:tcBorders>
              <w:bottom w:val="double" w:sz="1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bottom w:val="double" w:sz="1" w:space="0" w:color="231F20"/>
            </w:tcBorders>
          </w:tcPr>
          <w:p w:rsidR="00581BD1" w:rsidRDefault="003A37FC" w:rsidP="003A37FC">
            <w:pPr>
              <w:pStyle w:val="TableParagraph"/>
              <w:spacing w:before="2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264402">
              <w:rPr>
                <w:color w:val="231F20"/>
                <w:sz w:val="20"/>
              </w:rPr>
              <w:t>how notice of the dispute will be given and to whom?</w:t>
            </w:r>
          </w:p>
        </w:tc>
      </w:tr>
      <w:tr w:rsidR="00581BD1">
        <w:trPr>
          <w:trHeight w:val="683"/>
        </w:trPr>
        <w:tc>
          <w:tcPr>
            <w:tcW w:w="624" w:type="dxa"/>
            <w:tcBorders>
              <w:top w:val="double" w:sz="1" w:space="0" w:color="231F20"/>
              <w:bottom w:val="single" w:sz="6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top w:val="double" w:sz="1" w:space="0" w:color="231F20"/>
              <w:bottom w:val="single" w:sz="6" w:space="0" w:color="231F20"/>
            </w:tcBorders>
          </w:tcPr>
          <w:p w:rsidR="003A37FC" w:rsidRDefault="003A37FC" w:rsidP="003A37FC">
            <w:pPr>
              <w:pStyle w:val="TableParagraph"/>
              <w:spacing w:before="72" w:line="235" w:lineRule="auto"/>
              <w:ind w:right="67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264402">
              <w:rPr>
                <w:color w:val="231F20"/>
                <w:sz w:val="20"/>
              </w:rPr>
              <w:t xml:space="preserve">when </w:t>
            </w:r>
            <w:r w:rsidR="00363605">
              <w:rPr>
                <w:color w:val="231F20"/>
                <w:sz w:val="20"/>
              </w:rPr>
              <w:t>the parties are to meet and the</w:t>
            </w:r>
            <w:r w:rsidR="00264402">
              <w:rPr>
                <w:color w:val="231F20"/>
                <w:sz w:val="20"/>
              </w:rPr>
              <w:t xml:space="preserve"> process they will follow to resolve the dispute, including, without </w:t>
            </w:r>
          </w:p>
          <w:p w:rsidR="00581BD1" w:rsidRDefault="003A37FC" w:rsidP="003A37FC">
            <w:pPr>
              <w:pStyle w:val="TableParagraph"/>
              <w:spacing w:before="72" w:line="235" w:lineRule="auto"/>
              <w:ind w:right="6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264402">
              <w:rPr>
                <w:color w:val="231F20"/>
                <w:sz w:val="20"/>
              </w:rPr>
              <w:t>limitation, negot</w:t>
            </w:r>
            <w:r w:rsidR="006B1C80">
              <w:rPr>
                <w:color w:val="231F20"/>
                <w:sz w:val="20"/>
              </w:rPr>
              <w:t>iation, facilitation</w:t>
            </w:r>
            <w:r w:rsidR="00142ABA">
              <w:rPr>
                <w:color w:val="231F20"/>
                <w:sz w:val="20"/>
              </w:rPr>
              <w:t>,</w:t>
            </w:r>
            <w:r w:rsidR="006B1C80">
              <w:rPr>
                <w:color w:val="231F20"/>
                <w:sz w:val="20"/>
              </w:rPr>
              <w:t xml:space="preserve"> and mediat</w:t>
            </w:r>
            <w:r w:rsidR="00264402">
              <w:rPr>
                <w:color w:val="231F20"/>
                <w:sz w:val="20"/>
              </w:rPr>
              <w:t>ion?</w:t>
            </w:r>
          </w:p>
        </w:tc>
      </w:tr>
      <w:tr w:rsidR="00581BD1">
        <w:trPr>
          <w:trHeight w:val="344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top w:val="single" w:sz="6" w:space="0" w:color="231F20"/>
              <w:bottom w:val="single" w:sz="6" w:space="0" w:color="231F20"/>
            </w:tcBorders>
          </w:tcPr>
          <w:p w:rsidR="00581BD1" w:rsidRDefault="003A37FC" w:rsidP="003A37FC">
            <w:pPr>
              <w:pStyle w:val="TableParagraph"/>
              <w:spacing w:before="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264402">
              <w:rPr>
                <w:color w:val="231F20"/>
                <w:sz w:val="20"/>
              </w:rPr>
              <w:t>how a decision maker will be chosen and what powers, duties and functions the decision maker will have?</w:t>
            </w:r>
          </w:p>
        </w:tc>
      </w:tr>
      <w:tr w:rsidR="00581BD1">
        <w:trPr>
          <w:trHeight w:val="348"/>
        </w:trPr>
        <w:tc>
          <w:tcPr>
            <w:tcW w:w="624" w:type="dxa"/>
            <w:tcBorders>
              <w:top w:val="single" w:sz="6" w:space="0" w:color="231F20"/>
              <w:bottom w:val="single" w:sz="8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top w:val="single" w:sz="6" w:space="0" w:color="231F20"/>
              <w:bottom w:val="single" w:sz="8" w:space="0" w:color="231F20"/>
            </w:tcBorders>
          </w:tcPr>
          <w:p w:rsidR="00581BD1" w:rsidRDefault="00264402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the decision maker’s practice and procedures?</w:t>
            </w:r>
          </w:p>
        </w:tc>
      </w:tr>
      <w:tr w:rsidR="00581BD1">
        <w:trPr>
          <w:trHeight w:val="349"/>
        </w:trPr>
        <w:tc>
          <w:tcPr>
            <w:tcW w:w="624" w:type="dxa"/>
            <w:tcBorders>
              <w:top w:val="single" w:sz="8" w:space="0" w:color="231F20"/>
              <w:bottom w:val="single" w:sz="6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top w:val="single" w:sz="8" w:space="0" w:color="231F20"/>
              <w:bottom w:val="single" w:sz="6" w:space="0" w:color="231F20"/>
            </w:tcBorders>
          </w:tcPr>
          <w:p w:rsidR="00581BD1" w:rsidRDefault="00264402">
            <w:pPr>
              <w:pStyle w:val="TableParagraph"/>
              <w:spacing w:before="32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a binding dispute resolution mechanism?</w:t>
            </w:r>
          </w:p>
        </w:tc>
      </w:tr>
      <w:tr w:rsidR="00581BD1">
        <w:trPr>
          <w:trHeight w:val="350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top w:val="single" w:sz="6" w:space="0" w:color="231F20"/>
              <w:bottom w:val="single" w:sz="6" w:space="0" w:color="231F20"/>
            </w:tcBorders>
          </w:tcPr>
          <w:p w:rsidR="00581BD1" w:rsidRDefault="00264402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how any costs incurred as part of the dispute resolution process are to be shared among the parties?</w:t>
            </w:r>
          </w:p>
        </w:tc>
      </w:tr>
      <w:tr w:rsidR="00581BD1">
        <w:trPr>
          <w:trHeight w:val="351"/>
        </w:trPr>
        <w:tc>
          <w:tcPr>
            <w:tcW w:w="624" w:type="dxa"/>
            <w:tcBorders>
              <w:top w:val="single" w:sz="6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top w:val="single" w:sz="6" w:space="0" w:color="231F20"/>
            </w:tcBorders>
          </w:tcPr>
          <w:p w:rsidR="00581BD1" w:rsidRDefault="00264402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how records of the dispute resolution process are maintained, and who maintains the records?</w:t>
            </w:r>
          </w:p>
        </w:tc>
      </w:tr>
      <w:tr w:rsidR="00581BD1">
        <w:trPr>
          <w:trHeight w:val="351"/>
        </w:trPr>
        <w:tc>
          <w:tcPr>
            <w:tcW w:w="624" w:type="dxa"/>
            <w:tcBorders>
              <w:bottom w:val="single" w:sz="6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bottom w:val="single" w:sz="6" w:space="0" w:color="231F20"/>
            </w:tcBorders>
          </w:tcPr>
          <w:p w:rsidR="00581BD1" w:rsidRDefault="00264402">
            <w:pPr>
              <w:pStyle w:val="TableParagraph"/>
              <w:spacing w:before="43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how parties or the public, or both, are identified?</w:t>
            </w:r>
          </w:p>
        </w:tc>
      </w:tr>
      <w:tr w:rsidR="00581BD1">
        <w:trPr>
          <w:trHeight w:val="348"/>
        </w:trPr>
        <w:tc>
          <w:tcPr>
            <w:tcW w:w="624" w:type="dxa"/>
            <w:tcBorders>
              <w:top w:val="single" w:sz="6" w:space="0" w:color="231F20"/>
            </w:tcBorders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  <w:tcBorders>
              <w:top w:val="single" w:sz="6" w:space="0" w:color="231F20"/>
            </w:tcBorders>
          </w:tcPr>
          <w:p w:rsidR="00581BD1" w:rsidRDefault="00264402">
            <w:pPr>
              <w:pStyle w:val="TableParagraph"/>
              <w:spacing w:before="37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when parties or the public, or both, may be notified of the dispute?</w:t>
            </w:r>
          </w:p>
        </w:tc>
      </w:tr>
      <w:tr w:rsidR="00581BD1">
        <w:trPr>
          <w:trHeight w:val="352"/>
        </w:trPr>
        <w:tc>
          <w:tcPr>
            <w:tcW w:w="624" w:type="dxa"/>
          </w:tcPr>
          <w:p w:rsidR="00581BD1" w:rsidRDefault="00581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</w:tcPr>
          <w:p w:rsidR="00581BD1" w:rsidRDefault="00264402">
            <w:pPr>
              <w:pStyle w:val="TableParagraph"/>
              <w:spacing w:before="40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if and how parties or the public, or both, will be engaged in the dispute resolution process?</w:t>
            </w:r>
          </w:p>
        </w:tc>
      </w:tr>
      <w:tr w:rsidR="00A57DFE">
        <w:trPr>
          <w:trHeight w:val="352"/>
        </w:trPr>
        <w:tc>
          <w:tcPr>
            <w:tcW w:w="624" w:type="dxa"/>
          </w:tcPr>
          <w:p w:rsidR="00A57DFE" w:rsidRDefault="00A5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5" w:type="dxa"/>
          </w:tcPr>
          <w:p w:rsidR="00A57DFE" w:rsidRDefault="00E02817">
            <w:pPr>
              <w:pStyle w:val="TableParagraph"/>
              <w:spacing w:before="40"/>
              <w:ind w:left="15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the overall time it will take to complete the process? (overall timeline to resolve dispute not to exceed </w:t>
            </w:r>
            <w:r w:rsidR="00C1401B">
              <w:rPr>
                <w:color w:val="231F20"/>
                <w:sz w:val="20"/>
              </w:rPr>
              <w:t xml:space="preserve">1 </w:t>
            </w:r>
            <w:r>
              <w:rPr>
                <w:color w:val="231F20"/>
                <w:sz w:val="20"/>
              </w:rPr>
              <w:t>year)</w:t>
            </w:r>
          </w:p>
        </w:tc>
      </w:tr>
    </w:tbl>
    <w:p w:rsidR="00581BD1" w:rsidRDefault="00581BD1">
      <w:pPr>
        <w:pStyle w:val="BodyText"/>
        <w:spacing w:before="3"/>
        <w:rPr>
          <w:rFonts w:ascii="Times New Roman"/>
          <w:b w:val="0"/>
          <w:sz w:val="8"/>
        </w:rPr>
      </w:pPr>
    </w:p>
    <w:p w:rsidR="00581BD1" w:rsidRDefault="00264402">
      <w:pPr>
        <w:spacing w:before="103" w:line="235" w:lineRule="auto"/>
        <w:ind w:left="110" w:right="207" w:hanging="1"/>
        <w:rPr>
          <w:b/>
          <w:i/>
          <w:color w:val="231F20"/>
          <w:sz w:val="18"/>
        </w:rPr>
      </w:pPr>
      <w:r>
        <w:rPr>
          <w:i/>
          <w:color w:val="231F20"/>
          <w:sz w:val="18"/>
        </w:rPr>
        <w:t xml:space="preserve">Confirm that each of these mandatory areas, as outlined in </w:t>
      </w:r>
      <w:r w:rsidRPr="006D4463">
        <w:rPr>
          <w:b/>
          <w:i/>
          <w:color w:val="231F20"/>
          <w:sz w:val="18"/>
        </w:rPr>
        <w:t>Section 24(1) Intermunicipal Collaboration Framework Regulation</w:t>
      </w:r>
      <w:r w:rsidRPr="006D4463">
        <w:rPr>
          <w:i/>
          <w:color w:val="231F20"/>
          <w:sz w:val="18"/>
        </w:rPr>
        <w:t>,</w:t>
      </w:r>
      <w:r>
        <w:rPr>
          <w:i/>
          <w:color w:val="231F20"/>
          <w:sz w:val="18"/>
        </w:rPr>
        <w:t xml:space="preserve"> are addressed.</w:t>
      </w:r>
    </w:p>
    <w:p w:rsidR="0014595C" w:rsidRDefault="0014595C">
      <w:pPr>
        <w:spacing w:before="103" w:line="235" w:lineRule="auto"/>
        <w:ind w:left="110" w:right="207" w:hanging="1"/>
        <w:rPr>
          <w:i/>
          <w:sz w:val="18"/>
        </w:rPr>
      </w:pPr>
      <w:r>
        <w:rPr>
          <w:i/>
          <w:color w:val="231F20"/>
          <w:sz w:val="18"/>
        </w:rPr>
        <w:t xml:space="preserve">Please note, as outlined in Section </w:t>
      </w:r>
      <w:r w:rsidRPr="009D7561">
        <w:rPr>
          <w:b/>
          <w:i/>
          <w:color w:val="231F20"/>
          <w:sz w:val="18"/>
        </w:rPr>
        <w:t>24(2)</w:t>
      </w:r>
      <w:r w:rsidRPr="0014595C">
        <w:rPr>
          <w:b/>
          <w:i/>
          <w:color w:val="231F20"/>
          <w:sz w:val="18"/>
        </w:rPr>
        <w:t xml:space="preserve"> </w:t>
      </w:r>
      <w:r w:rsidRPr="006D4463">
        <w:rPr>
          <w:b/>
          <w:i/>
          <w:color w:val="231F20"/>
          <w:sz w:val="18"/>
        </w:rPr>
        <w:t>Intermunicipal Collaboration Framework Regulation</w:t>
      </w:r>
      <w:r>
        <w:rPr>
          <w:b/>
          <w:i/>
          <w:color w:val="231F20"/>
          <w:sz w:val="18"/>
        </w:rPr>
        <w:t xml:space="preserve">, </w:t>
      </w:r>
      <w:r w:rsidRPr="0014595C">
        <w:rPr>
          <w:i/>
          <w:sz w:val="18"/>
          <w:szCs w:val="18"/>
        </w:rPr>
        <w:t xml:space="preserve">if the dispute resolution process is not completed within </w:t>
      </w:r>
      <w:r w:rsidR="009D6820">
        <w:rPr>
          <w:i/>
          <w:sz w:val="18"/>
          <w:szCs w:val="18"/>
        </w:rPr>
        <w:t>1</w:t>
      </w:r>
      <w:r w:rsidRPr="0014595C">
        <w:rPr>
          <w:i/>
          <w:sz w:val="18"/>
          <w:szCs w:val="18"/>
        </w:rPr>
        <w:t xml:space="preserve"> year from the date the notice of the dispute is given, any party may request the Minister to appoint an arbitrator.</w:t>
      </w:r>
    </w:p>
    <w:sectPr w:rsidR="0014595C">
      <w:footerReference w:type="default" r:id="rId6"/>
      <w:pgSz w:w="12240" w:h="15840"/>
      <w:pgMar w:top="34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9F" w:rsidRDefault="0048759F" w:rsidP="00264402">
      <w:r>
        <w:separator/>
      </w:r>
    </w:p>
  </w:endnote>
  <w:endnote w:type="continuationSeparator" w:id="0">
    <w:p w:rsidR="0048759F" w:rsidRDefault="0048759F" w:rsidP="0026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02" w:rsidRPr="00D13ADB" w:rsidRDefault="00264402">
    <w:pPr>
      <w:pStyle w:val="Footer"/>
      <w:rPr>
        <w:sz w:val="18"/>
        <w:szCs w:val="18"/>
      </w:rPr>
    </w:pPr>
    <w:r w:rsidRPr="00D13ADB">
      <w:rPr>
        <w:sz w:val="18"/>
        <w:szCs w:val="18"/>
      </w:rPr>
      <w:t>Version 1.0 Feb. 12,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9F" w:rsidRDefault="0048759F" w:rsidP="00264402">
      <w:r>
        <w:separator/>
      </w:r>
    </w:p>
  </w:footnote>
  <w:footnote w:type="continuationSeparator" w:id="0">
    <w:p w:rsidR="0048759F" w:rsidRDefault="0048759F" w:rsidP="0026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D1"/>
    <w:rsid w:val="001212B3"/>
    <w:rsid w:val="00142ABA"/>
    <w:rsid w:val="0014595C"/>
    <w:rsid w:val="00264402"/>
    <w:rsid w:val="002D6388"/>
    <w:rsid w:val="00363605"/>
    <w:rsid w:val="003A37FC"/>
    <w:rsid w:val="0048759F"/>
    <w:rsid w:val="00581BD1"/>
    <w:rsid w:val="00677E8F"/>
    <w:rsid w:val="00691D67"/>
    <w:rsid w:val="006B1C80"/>
    <w:rsid w:val="006D4463"/>
    <w:rsid w:val="00712088"/>
    <w:rsid w:val="00996680"/>
    <w:rsid w:val="009D6820"/>
    <w:rsid w:val="009D7561"/>
    <w:rsid w:val="00A177CE"/>
    <w:rsid w:val="00A57DFE"/>
    <w:rsid w:val="00C1401B"/>
    <w:rsid w:val="00C27FA7"/>
    <w:rsid w:val="00D13ADB"/>
    <w:rsid w:val="00DB3007"/>
    <w:rsid w:val="00DE20E8"/>
    <w:rsid w:val="00E02817"/>
    <w:rsid w:val="00F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FB423-888C-4D95-9592-9B9F2A8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0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0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Workbook Tools_Jan17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 Tools_Jan17</dc:title>
  <dc:creator>Rachel de Vos</dc:creator>
  <cp:lastModifiedBy>Rachel de Vos</cp:lastModifiedBy>
  <cp:revision>2</cp:revision>
  <dcterms:created xsi:type="dcterms:W3CDTF">2018-03-06T20:10:00Z</dcterms:created>
  <dcterms:modified xsi:type="dcterms:W3CDTF">2018-03-06T20:10:00Z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2018-01-29T00:00:00Z</vt:filetime>
  </property>
</Properties>
</file>